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left"/>
        <w:textAlignment w:val="auto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Cs/>
          <w:kern w:val="2"/>
          <w:sz w:val="32"/>
          <w:szCs w:val="32"/>
          <w:highlight w:val="none"/>
        </w:rPr>
        <w:t>附件</w:t>
      </w:r>
    </w:p>
    <w:p>
      <w:pPr>
        <w:spacing w:line="240" w:lineRule="auto"/>
        <w:jc w:val="center"/>
        <w:textAlignment w:val="auto"/>
        <w:rPr>
          <w:rFonts w:ascii="方正小标宋_GBK" w:hAnsi="方正小标宋_GBK" w:eastAsia="方正小标宋_GBK" w:cs="方正小标宋_GBK"/>
          <w:color w:val="auto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成都工业职业技术学院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1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高层次人才引进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需求信息表</w:t>
      </w:r>
      <w:bookmarkEnd w:id="0"/>
    </w:p>
    <w:tbl>
      <w:tblPr>
        <w:tblStyle w:val="5"/>
        <w:tblW w:w="14070" w:type="dxa"/>
        <w:tblInd w:w="9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1176"/>
        <w:gridCol w:w="1590"/>
        <w:gridCol w:w="732"/>
        <w:gridCol w:w="667"/>
        <w:gridCol w:w="2981"/>
        <w:gridCol w:w="2340"/>
        <w:gridCol w:w="690"/>
        <w:gridCol w:w="3390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tblHeader/>
        </w:trPr>
        <w:tc>
          <w:tcPr>
            <w:tcW w:w="5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序号</w:t>
            </w:r>
          </w:p>
        </w:tc>
        <w:tc>
          <w:tcPr>
            <w:tcW w:w="11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部门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招聘岗位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名称</w:t>
            </w:r>
          </w:p>
        </w:tc>
        <w:tc>
          <w:tcPr>
            <w:tcW w:w="732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岗位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类别</w:t>
            </w:r>
          </w:p>
        </w:tc>
        <w:tc>
          <w:tcPr>
            <w:tcW w:w="6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招聘人数</w:t>
            </w:r>
          </w:p>
        </w:tc>
        <w:tc>
          <w:tcPr>
            <w:tcW w:w="94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 w:color="000000"/>
                <w:lang w:val="en-US" w:eastAsia="zh-CN" w:bidi="ar"/>
              </w:rPr>
              <w:t>应聘资格条件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tblHeader/>
        </w:trPr>
        <w:tc>
          <w:tcPr>
            <w:tcW w:w="5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2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学科、专业或研究方向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学历学位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职称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1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装备制造学院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机电专业专任教师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专业技术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 w:color="000000"/>
                <w:lang w:val="en-US" w:eastAsia="zh-CN" w:bidi="ar"/>
              </w:rPr>
              <w:t>2</w:t>
            </w:r>
          </w:p>
        </w:tc>
        <w:tc>
          <w:tcPr>
            <w:tcW w:w="2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 xml:space="preserve">机械工程、控制科学与工程   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普通高等教育博士研究生，取得学历相应学位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/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1.1971年1月1日后出生；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2.具有正高级职称的无学历要求，年龄可适当放宽。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2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轨道交通学院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轨道交通专业专任教师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专业技术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2</w:t>
            </w:r>
          </w:p>
        </w:tc>
        <w:tc>
          <w:tcPr>
            <w:tcW w:w="2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交通运输工程、桥梁与隧道工程、车辆工程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普通高等教育博士研究生，取得学历相应学位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/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1.1971年1月1日后出生；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2.具有正高级职称的无学历要求，年龄可适当放宽。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3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信息工程学院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信息安全与管理专业专任教师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专业技术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2</w:t>
            </w:r>
          </w:p>
        </w:tc>
        <w:tc>
          <w:tcPr>
            <w:tcW w:w="2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信息与通信工程、计算机科学与技术、软件工程、网络空间安全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普通高等教育博士研究生，取得学历相应学位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/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1.1976年1月1日后出生；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2.具有正高级职称的无学历要求，年龄可适当放宽。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4</w:t>
            </w:r>
          </w:p>
        </w:tc>
        <w:tc>
          <w:tcPr>
            <w:tcW w:w="1176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汽车工程学院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智能网联汽车技术专业专任教师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专业技术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1</w:t>
            </w:r>
          </w:p>
        </w:tc>
        <w:tc>
          <w:tcPr>
            <w:tcW w:w="2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机械工程、交通运输工程、电气工程、信息与通信工程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普通高等教育博士研究生，取得学历相应学位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/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1.1976年1月1日后出生；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2.具有正高级职称的无学历要求，年龄可适当放宽。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5</w:t>
            </w:r>
          </w:p>
        </w:tc>
        <w:tc>
          <w:tcPr>
            <w:tcW w:w="1176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新能源汽车技术专业专任教师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专业技术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1</w:t>
            </w:r>
          </w:p>
        </w:tc>
        <w:tc>
          <w:tcPr>
            <w:tcW w:w="2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机械工程、交通运输工程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普通高等教育博士研究生，取得学历相应学位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/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1.1976年1月1日后出生；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2.具有正高级职称的无学历要求，年龄可适当放宽。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6</w:t>
            </w:r>
          </w:p>
        </w:tc>
        <w:tc>
          <w:tcPr>
            <w:tcW w:w="1176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建筑工程学院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建筑智能化工程技术专业专任教师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专业技术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1</w:t>
            </w:r>
          </w:p>
        </w:tc>
        <w:tc>
          <w:tcPr>
            <w:tcW w:w="2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电气工程、电子科学与技术、控制科学与工程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普通高等教育博士研究生，取得学历相应学位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/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1.1971年1月1日后出生；                                       2.具有正高级职称的无学历要求，年龄可适当放宽。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7</w:t>
            </w:r>
          </w:p>
        </w:tc>
        <w:tc>
          <w:tcPr>
            <w:tcW w:w="11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建筑工程技术专业专任教师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专业技术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1</w:t>
            </w:r>
          </w:p>
        </w:tc>
        <w:tc>
          <w:tcPr>
            <w:tcW w:w="2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建筑学、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水利工程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、土木工程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普通高等教育博士研究生，取得学历相应学位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/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1.1971年1月1日后出生；                                       2.具有正高级职称的无学历要求，年龄可适当放宽。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8</w:t>
            </w:r>
          </w:p>
        </w:tc>
        <w:tc>
          <w:tcPr>
            <w:tcW w:w="11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物流工程学院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物流管理专业专任教师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专业技术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1</w:t>
            </w:r>
          </w:p>
        </w:tc>
        <w:tc>
          <w:tcPr>
            <w:tcW w:w="2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应用经济学、交通运输工程、工商管理、管理科学与工程、农林经济管理、控制科学与工程、计算机科学与技术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普通高等教育博士研究生，取得学历相应学位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/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1.1976年1月1日后出生；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2.具有正高级职称的无学历要求，年龄可适当放宽。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7" w:hRule="atLeas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9</w:t>
            </w:r>
          </w:p>
        </w:tc>
        <w:tc>
          <w:tcPr>
            <w:tcW w:w="11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冷链物流技术与管理专业专任教师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专业技术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1</w:t>
            </w:r>
          </w:p>
        </w:tc>
        <w:tc>
          <w:tcPr>
            <w:tcW w:w="2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动力工程及工程热物理、食品科学与工程、应用经济学、交通运输工程、工商管理、管理科学与工程、农林经济管理、控制科学与工程、计算机科学与技术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普通高等教育博士研究生，取得学历相应学位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/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1.1976年1月1日后出生；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2.具有正高级职称的无学历要求，年龄可适当放宽。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eastAsia="zh-CN"/>
              </w:rPr>
              <w:t>财经管理学院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  <w:t>金融科技应用专业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专任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  <w:t>教师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 w:color="00000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 w:color="000000"/>
                <w:lang w:val="en-US" w:eastAsia="zh-CN" w:bidi="ar"/>
              </w:rPr>
              <w:t>专业技术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 w:color="00000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 w:color="000000"/>
                <w:lang w:val="en-US" w:eastAsia="zh-CN" w:bidi="ar"/>
              </w:rPr>
              <w:t>1</w:t>
            </w:r>
          </w:p>
        </w:tc>
        <w:tc>
          <w:tcPr>
            <w:tcW w:w="2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  <w:t>应用经济学、统计学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  <w:t>普通高等教育博士研究生，取得学历相应学位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 w:color="000000"/>
                <w:lang w:val="en-US" w:eastAsia="zh-CN" w:bidi="ar"/>
              </w:rPr>
              <w:t>/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  <w:t>1.1976年1月1日后出生；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  <w:t>2.具有正高级职称的可放宽至硕士研究生学历，年龄可适当放宽。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 w:color="00000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1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 w:color="00000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马克思主义学院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 w:color="00000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思想政治理论课专任教师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 w:color="000000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专业技术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 w:color="00000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2</w:t>
            </w:r>
          </w:p>
        </w:tc>
        <w:tc>
          <w:tcPr>
            <w:tcW w:w="2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 w:color="00000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哲学、理论经济学、应用经济学、法学、政治学、社会学、马克思主义理论、中国史、世界史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 w:color="00000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普通高等教育博士研究生，取得学历相应学位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 w:color="00000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/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 w:color="00000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1.1976年1月1日后出生；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2.具有正高级职称的无学历要求，年龄可适当放宽；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000000"/>
                <w:lang w:val="en-US" w:eastAsia="zh-CN" w:bidi="ar"/>
              </w:rPr>
              <w:t>3.非应届毕业生须是中共党员。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 w:color="000000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 w:color="000000"/>
                <w:lang w:val="en-US" w:eastAsia="zh-CN" w:bidi="ar"/>
              </w:rPr>
              <w:t>12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 w:color="00000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 w:color="000000"/>
                <w:lang w:val="en-US" w:eastAsia="zh-CN" w:bidi="ar"/>
              </w:rPr>
              <w:t>发展规划处（对外交流合作处）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 w:color="00000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 w:color="000000"/>
                <w:lang w:val="en-US" w:eastAsia="zh-CN" w:bidi="ar"/>
              </w:rPr>
              <w:t>职教研究工作人员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 w:color="00000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 w:color="000000"/>
                <w:lang w:val="en-US" w:eastAsia="zh-CN" w:bidi="ar"/>
              </w:rPr>
              <w:t>专业技术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 w:color="00000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 w:color="000000"/>
                <w:lang w:val="en-US" w:eastAsia="zh-CN" w:bidi="ar"/>
              </w:rPr>
              <w:t>1</w:t>
            </w:r>
          </w:p>
        </w:tc>
        <w:tc>
          <w:tcPr>
            <w:tcW w:w="2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 w:color="00000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 w:color="000000"/>
                <w:lang w:val="en-US" w:eastAsia="zh-CN" w:bidi="ar"/>
              </w:rPr>
              <w:t>教育学、公共管理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 w:color="00000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 w:color="000000"/>
                <w:lang w:val="en-US" w:eastAsia="zh-CN" w:bidi="ar"/>
              </w:rPr>
              <w:t>普通高等教育博士研究生，取得学历相应学位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 w:color="00000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 w:color="000000"/>
                <w:lang w:val="en-US" w:eastAsia="zh-CN" w:bidi="ar"/>
              </w:rPr>
              <w:t>/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 w:color="00000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 w:color="000000"/>
                <w:lang w:val="en-US" w:eastAsia="zh-CN" w:bidi="ar"/>
              </w:rPr>
              <w:t>1.1976年1月1日后出生；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 w:color="00000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 w:color="000000"/>
                <w:lang w:val="en-US" w:eastAsia="zh-CN" w:bidi="ar"/>
              </w:rPr>
              <w:t>2.具有正高级职称的无学历要求，年龄可适当放宽。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baseline"/>
        <w:rPr>
          <w:rFonts w:hint="eastAsia" w:eastAsia="宋体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DE130E"/>
    <w:rsid w:val="04045BC4"/>
    <w:rsid w:val="04DD4D0A"/>
    <w:rsid w:val="0A501875"/>
    <w:rsid w:val="0C7C265C"/>
    <w:rsid w:val="0EFC4B23"/>
    <w:rsid w:val="11DF405F"/>
    <w:rsid w:val="12F30123"/>
    <w:rsid w:val="140B4ECB"/>
    <w:rsid w:val="153D62B6"/>
    <w:rsid w:val="162F33AB"/>
    <w:rsid w:val="16E34C70"/>
    <w:rsid w:val="1A3F3D06"/>
    <w:rsid w:val="1BDE130E"/>
    <w:rsid w:val="1E9E6CA1"/>
    <w:rsid w:val="25A36903"/>
    <w:rsid w:val="2A135454"/>
    <w:rsid w:val="2F026A4B"/>
    <w:rsid w:val="2F3F21FB"/>
    <w:rsid w:val="31A833F6"/>
    <w:rsid w:val="351F011C"/>
    <w:rsid w:val="37402D77"/>
    <w:rsid w:val="37B36167"/>
    <w:rsid w:val="381C38C3"/>
    <w:rsid w:val="38C3728C"/>
    <w:rsid w:val="397E35BB"/>
    <w:rsid w:val="44BA7415"/>
    <w:rsid w:val="46507B2A"/>
    <w:rsid w:val="4699154E"/>
    <w:rsid w:val="4892403E"/>
    <w:rsid w:val="4AF96726"/>
    <w:rsid w:val="4B581F2E"/>
    <w:rsid w:val="4D612E16"/>
    <w:rsid w:val="508501BF"/>
    <w:rsid w:val="576F027B"/>
    <w:rsid w:val="59345A02"/>
    <w:rsid w:val="5B2C0E01"/>
    <w:rsid w:val="5CB94059"/>
    <w:rsid w:val="5E307DE9"/>
    <w:rsid w:val="61EF5397"/>
    <w:rsid w:val="64966F53"/>
    <w:rsid w:val="64CE2D42"/>
    <w:rsid w:val="6D2C3D6B"/>
    <w:rsid w:val="70411EF9"/>
    <w:rsid w:val="74A65602"/>
    <w:rsid w:val="788E5035"/>
    <w:rsid w:val="7B986C74"/>
    <w:rsid w:val="7BA0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357" w:lineRule="atLeast"/>
      <w:jc w:val="both"/>
      <w:textAlignment w:val="baseline"/>
    </w:pPr>
    <w:rPr>
      <w:rFonts w:ascii="Times New Roman" w:hAnsi="Times New Roman" w:eastAsia="宋体" w:cs="Times New Roman"/>
      <w:color w:val="000000"/>
      <w:sz w:val="21"/>
      <w:u w:color="000000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  <w:pPr>
      <w:tabs>
        <w:tab w:val="right" w:leader="dot" w:pos="9345"/>
      </w:tabs>
      <w:spacing w:line="360" w:lineRule="auto"/>
    </w:pPr>
    <w:rPr>
      <w:rFonts w:ascii="宋体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="100" w:beforeAutospacing="1" w:after="100" w:afterAutospacing="1" w:line="240" w:lineRule="auto"/>
      <w:jc w:val="left"/>
      <w:textAlignment w:val="auto"/>
    </w:pPr>
    <w:rPr>
      <w:rFonts w:ascii="宋体" w:hAnsi="宋体" w:cs="宋体"/>
      <w:color w:val="auto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qFormat/>
    <w:uiPriority w:val="0"/>
    <w:rPr>
      <w:color w:val="000000"/>
      <w:u w:val="none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footnotes" Target="footnotes.xml"/>
  <Relationship Id="rId4" Type="http://schemas.openxmlformats.org/officeDocument/2006/relationships/endnotes" Target="endnotes.xml"/>
  <Relationship Id="rId5" Type="http://schemas.openxmlformats.org/officeDocument/2006/relationships/theme" Target="theme/theme1.xml"/>
  <Relationship Id="rId6" Type="http://schemas.openxmlformats.org/officeDocument/2006/relationships/customXml" Target="../customXml/item1.xml"/>
  <Relationship Id="rId7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2021-03-15T02:05:00Z</dcterms:created>
  <dc:creator>恬丫丫的</dc:creator>
  <lastModifiedBy>恬丫丫的</lastModifiedBy>
  <lastPrinted>2021-03-15T02:05:00Z</lastPrinted>
  <dcterms:modified xsi:type="dcterms:W3CDTF">2021-04-06T03:06:15Z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KSOSaveFontToCloudKey">
    <vt:lpwstr>398286902_cloud</vt:lpwstr>
  </property>
  <property fmtid="{D5CDD505-2E9C-101B-9397-08002B2CF9AE}" pid="4" name="ICV">
    <vt:lpwstr>2B1B4BC312744EF98ECDA304577F2A66</vt:lpwstr>
  </property>
</Properties>
</file>