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8" w:hangingChars="157"/>
        <w:textAlignment w:val="auto"/>
        <w:rPr>
          <w:rFonts w:hint="default" w:ascii="仿宋" w:hAnsi="仿宋" w:eastAsia="仿宋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lang w:val="en-US" w:eastAsia="zh-CN"/>
        </w:rPr>
        <w:t>课题指南：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教育改革“双减”“双增”下休闲体育产业发展研究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2.体育旅游资源分类标准与评价体系研究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.元宇宙时代智慧体育旅游的创新发展研究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. 文化体育旅游创新融合发展路径研究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乡村振兴战略背景下文体旅融合发展的研究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.乡村振兴与城乡休闲体育互动发展研究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.基于大数据的四川休闲体育环境特征研究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新形势下民族、民间、民俗体育产业化的研究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数字时代休闲体育产业发展研究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10.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数字经济与四川民族传统体育文化旅游产业发展研究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11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.文化自信视域下民族传统体育的传承，创新与运用研究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12.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新消费时代与国民运动品牌、体育消费的相关研究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13.大熊猫国家公园入口社区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休闲体育产业发展研究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14.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2022年冬奥会遗产对促进冰雪运动产业发展的研究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15.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后冬奥时代四川冰雪运动产业发展的突破与创新研究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16.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成渝地区双城经济圈休闲体育产业融入新发展格局、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实施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高质量协同发展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路径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的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实践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17.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冰雪运动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资源的市场开发与人才培养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18.“十四五”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推进成渝地区双城经济圈体育产业示范区（基地）发展的研究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19.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“十四五”时期四川省休闲体育产业高质量发展研究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20.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世界赛事名城建设与国家公园示范城市建设互动发展研究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21.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新冠疫情多发背景下成都推进”赛事名城”的创新办法与举措研究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22.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成都世界大学生运动会促进成都市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休闲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体育产业发展的经验与不足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23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.世界大学生运动会对成都建设世界赛事名城影响的研究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24.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成都大运会场馆赛后可持续利用研究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25.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四川现代体育服务业发展与体育服务综合体建设研究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26.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区域体育产业的可持续性发展与学校体育的联动机制研究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27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.碳中和目标下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休闲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体育产业发展研究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28</w:t>
      </w:r>
      <w:r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  <w:t>.碳中和背景下四川山地体育旅游发展战略研究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76" w:hangingChars="157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29.中外合作办学背景下高校休闲体育产业人才培养创新模式研究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F5097"/>
    <w:rsid w:val="0B8B296C"/>
    <w:rsid w:val="1C404406"/>
    <w:rsid w:val="1D4D3DBC"/>
    <w:rsid w:val="28194232"/>
    <w:rsid w:val="38BB79B3"/>
    <w:rsid w:val="3D36764F"/>
    <w:rsid w:val="40B34CD9"/>
    <w:rsid w:val="48B7601C"/>
    <w:rsid w:val="509F0C78"/>
    <w:rsid w:val="513C4BB5"/>
    <w:rsid w:val="5DEE10D1"/>
    <w:rsid w:val="700405F4"/>
    <w:rsid w:val="78E6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2021-11-19T10:02:00Z</dcterms:created>
  <dc:creator>Administrator</dc:creator>
  <lastModifiedBy>dell</lastModifiedBy>
  <lastPrinted>2021-11-19T10:02:00Z</lastPrinted>
  <dcterms:modified xsi:type="dcterms:W3CDTF">2022-03-15T01:30:35Z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7C7161E82C98495D917F38F081855B0A</vt:lpwstr>
  </property>
</Properties>
</file>